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00" w:lineRule="exact"/>
        <w:ind w:left="177" w:hanging="178" w:hangingChars="31"/>
        <w:jc w:val="center"/>
        <w:textAlignment w:val="auto"/>
        <w:rPr>
          <w:rFonts w:hint="default" w:ascii="Times New Roman" w:hAnsi="Times New Roman" w:eastAsia="方正小标宋简体" w:cs="Times New Roman"/>
          <w:color w:val="FF0000"/>
          <w:w w:val="38"/>
          <w:sz w:val="152"/>
          <w:szCs w:val="152"/>
        </w:rPr>
      </w:pPr>
      <w:r>
        <w:rPr>
          <w:rFonts w:hint="default" w:ascii="Times New Roman" w:hAnsi="Times New Roman" w:eastAsia="方正小标宋简体" w:cs="Times New Roman"/>
          <w:color w:val="FF0000"/>
          <w:w w:val="38"/>
          <w:sz w:val="152"/>
          <w:szCs w:val="152"/>
        </w:rPr>
        <w:t>枣庄市市中区人民政府办公室文件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国标楷体-GB/T 2312" w:cs="Times New Roman"/>
          <w:b/>
          <w:bCs/>
          <w:sz w:val="32"/>
          <w:szCs w:val="2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700" w:lineRule="exact"/>
        <w:ind w:left="0" w:leftChars="0" w:right="0" w:rightChars="0" w:firstLine="0" w:firstLineChars="0"/>
        <w:jc w:val="center"/>
        <w:textAlignment w:val="auto"/>
        <w:rPr>
          <w:rStyle w:val="15"/>
          <w:rFonts w:hint="default" w:ascii="Times New Roman" w:hAnsi="Times New Roman" w:eastAsia="楷体_GB2312" w:cs="Times New Roman"/>
          <w:bCs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15"/>
          <w:rFonts w:hint="default" w:ascii="Times New Roman" w:hAnsi="Times New Roman" w:eastAsia="楷体_GB2312" w:cs="Times New Roman"/>
          <w:bCs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市中政办发〔2026〕1号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lang w:val="en-US" w:eastAsia="zh-C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894080</wp:posOffset>
                </wp:positionH>
                <wp:positionV relativeFrom="page">
                  <wp:posOffset>3944620</wp:posOffset>
                </wp:positionV>
                <wp:extent cx="5760085" cy="3175"/>
                <wp:effectExtent l="0" t="10795" r="12065" b="1460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3175"/>
                        </a:xfrm>
                        <a:prstGeom prst="line">
                          <a:avLst/>
                        </a:prstGeom>
                        <a:ln w="2159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algn="ctr" rotWithShape="0">
                            <a:srgbClr val="C0C0C0"/>
                          </a:outer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4pt;margin-top:310.6pt;height:0.25pt;width:453.55pt;mso-position-horizontal-relative:page;mso-position-vertical-relative:page;z-index:251659264;mso-width-relative:page;mso-height-relative:page;" filled="f" stroked="t" coordsize="21600,21600" o:gfxdata="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7jia51wAAAAwBAAAPAAAAAAAAAAEAIAAA&#10;ACIAAABkcnMvZG93bnJldi54bWxQSwECFAAUAAAACACHTuJA3YiAzA0CAAAFBAAADgAAAAAAAAAB&#10;ACAAAAAmAQAAZHJzL2Uyb0RvYy54bWxQSwUGAAAAAAYABgBZAQAApQUAAAAA&#10;">
                <v:fill on="f" focussize="0,0"/>
                <v:stroke weight="1.7pt" color="#FF0000" joinstyle="round"/>
                <v:imagedata o:title=""/>
                <o:lock v:ext="edit" aspectratio="f"/>
                <v:shadow on="t" color="#C0C0C0" offset="0pt,0pt" origin="0f,0f" matrix="65536f,0f,0f,65536f"/>
              </v:line>
            </w:pict>
          </mc:Fallback>
        </mc:AlternateConten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kern w:val="2"/>
          <w:sz w:val="44"/>
          <w:szCs w:val="24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kern w:val="2"/>
          <w:sz w:val="44"/>
          <w:szCs w:val="2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/>
          <w:bCs/>
          <w:kern w:val="2"/>
          <w:sz w:val="44"/>
          <w:szCs w:val="24"/>
          <w:lang w:val="en-US" w:eastAsia="zh-CN" w:bidi="ar-SA"/>
        </w:rPr>
        <w:t>枣庄市市中区人民政府办公室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40A1"/>
          <w:spacing w:val="0"/>
          <w:sz w:val="39"/>
          <w:szCs w:val="39"/>
        </w:rPr>
      </w:pPr>
      <w:r>
        <w:rPr>
          <w:rFonts w:hint="default" w:ascii="Times New Roman" w:hAnsi="Times New Roman" w:eastAsia="方正小标宋简体" w:cs="Times New Roman"/>
          <w:b/>
          <w:bCs/>
          <w:kern w:val="2"/>
          <w:sz w:val="44"/>
          <w:szCs w:val="24"/>
          <w:lang w:val="en-US" w:eastAsia="zh-CN" w:bidi="ar-SA"/>
        </w:rPr>
        <w:t>关于2025年度法治政府建设报告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78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中共枣庄市市中区委全面依法治区委员会办公室：</w:t>
      </w:r>
    </w:p>
    <w:p>
      <w:pPr>
        <w:pStyle w:val="1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年，在区委、区政府的坚强领导下，在区委依法治区办的具体指导下，区政府办公室坚持以习近平新时代中国特色社会主义思想为指导，认真学习贯彻党的二十大和二十届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中全会精神以及习近平法治思想，扎实开展党纪学习教育，全面落实《法治政府建设实施纲要（2021—2025年）》《枣庄市法治政府建设实施纲要（2021—2025年）》和市委关于法治政府建设的各项部署要求，以普法教育为先导、以依法行政为核心、以制度建设为保障，严格履行法治政府建设各项职责。现将202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年度法治政府建设情况报告如下：</w:t>
      </w:r>
    </w:p>
    <w:p>
      <w:pPr>
        <w:pStyle w:val="1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15"/>
          <w:rFonts w:hint="default" w:ascii="Times New Roman" w:hAnsi="Times New Roman" w:eastAsia="黑体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一、主要举措与成效</w:t>
      </w:r>
    </w:p>
    <w:p>
      <w:pPr>
        <w:pStyle w:val="1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highlight w:val="yellow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（一）</w:t>
      </w:r>
      <w:r>
        <w:rPr>
          <w:rStyle w:val="15"/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健全完善政府机构职能体系，夯实法治根基。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坚持将法治政府建设作为战略性、基础性工程，纳入办公室工作全局统筹谋划。构建“一把手负总责、班子成员齐抓共管、科室各司其职”的责任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体系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。严格执行党组理论学习中心组学法、“第一议题”等制度，全年组织集体学法、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专题研讨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Style w:val="15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次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，深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入学习习近平法治思想“十一个坚持”核心要义及宪法、民法典、优化营商环境条例等重点法律法规，切实提升领导干部运用法治思维和法治方式深化改革、推动发展、化解矛盾、维护稳定的能力。</w:t>
      </w:r>
    </w:p>
    <w:p>
      <w:pPr>
        <w:pStyle w:val="1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highlight w:val="yellow"/>
          <w:lang w:eastAsia="zh-CN"/>
        </w:rPr>
      </w:pPr>
      <w:r>
        <w:rPr>
          <w:rStyle w:val="15"/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</w:t>
      </w:r>
      <w:r>
        <w:rPr>
          <w:rStyle w:val="15"/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Style w:val="15"/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）健全行政决策程序，提升决策质效。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将依法决策贯穿于服务区政府决策全过程。严格落实重大行政决策公众参与、专家论证、风险评估、合法性审查、集体讨论决定程序。围绕全区中心工作和民生关切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</w:rPr>
        <w:t>今年以来，累计向上报送各类要情、约稿信息300余条，编发《政务信息快报》245期；1—9月被省政府办公厅综合采用105篇、国办综合采用14篇，其中获国办领导批示5篇。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Style w:val="15"/>
          <w:rFonts w:hint="default" w:ascii="Times New Roman" w:hAnsi="Times New Roman" w:eastAsia="楷体_GB2312" w:cs="Times New Roman"/>
          <w:bCs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（三）创新法治化工作机制，优化营商环境。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牵头推动法治化营商环境建设取得新突破。以《2025年市中区优化提升营商环境任务清单》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《关于推动企业高质量发展的十条措施》为抓手，构建政企常态化沟通机制，各项工作取得积极成效。一是用心用情服务企业。依托24人的企业服务团队，为55个重点项目提供帮办服务40余次。二是闭环办理企业诉求，2025年以来，共接收省接诉即办77件，办结件77件，满意率和解决率为100%。三是大力推动改革创新。完善全链条典型培树、区级领导领衔重大改革事项等推进机制，两个市级“揭榜挂帅”项目顺利推进。</w:t>
      </w:r>
    </w:p>
    <w:p>
      <w:pPr>
        <w:pStyle w:val="1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四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）强化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法治化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监督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机制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，确保依法履职。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充分发挥督查“利器”作用，将法治要求融入督查全过程。围绕《政府工作报告》分解任务、惠民实事、重点项目等，开展专项督查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30余</w:t>
      </w:r>
      <w:r>
        <w:rPr>
          <w:rStyle w:val="15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次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，印发督查通报</w:t>
      </w:r>
      <w:r>
        <w:rPr>
          <w:rStyle w:val="15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52</w:t>
      </w:r>
      <w:r>
        <w:rPr>
          <w:rStyle w:val="15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期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。高效督办市、区人大建议</w:t>
      </w:r>
      <w:r>
        <w:rPr>
          <w:rStyle w:val="15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73件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、政协提案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130</w:t>
      </w:r>
      <w:r>
        <w:rPr>
          <w:rStyle w:val="15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件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，办结率100%。严格落实“一岗双责”，加强对分管科室党员干部的日常监督管理与警示教育，营造风清气正的政治生态。自觉接受人大监督、民主监督、司法监督和社会监督。</w:t>
      </w:r>
    </w:p>
    <w:p>
      <w:pPr>
        <w:pStyle w:val="1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Style w:val="15"/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（</w:t>
      </w:r>
      <w:r>
        <w:rPr>
          <w:rStyle w:val="15"/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五</w:t>
      </w:r>
      <w:r>
        <w:rPr>
          <w:rStyle w:val="15"/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）构建法治政府建设科技保障体系，赋能智慧治理。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深入推进数字政府建设。配合上级推动“高效办成一件事”重点事项全面落地，加快推进政务服务数字化。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积极推广使用数智镇街平台，已开通各镇街和有关部门单位账号权限，完成学历查询、居民生存状态核验等数据比对65万余次；协调组织各部门梳理用证事项并进行证照证明关联，形成市中区电子证照证明“用证”事项清单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截至11月底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，“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爱山东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已上线37个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高效办成一件事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事项入口，可办政务服务事项已达680项。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“爱山东”高频政务服务事项已实现两周一测试，今年稳定运行率保持100%，收到的“爱山东”工单的按时办结率和满意率均为100%。</w:t>
      </w:r>
    </w:p>
    <w:p>
      <w:pPr>
        <w:pStyle w:val="1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15"/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</w:t>
      </w:r>
      <w:r>
        <w:rPr>
          <w:rStyle w:val="15"/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六</w:t>
      </w:r>
      <w:r>
        <w:rPr>
          <w:rStyle w:val="15"/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）完善法治政府建设推进机制，压实主体责任。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高标准落实党政主要负责人履行推进法治建设第一责任人职责。党组书记、主任带头研学、带头述法、带头履职，主持制定并落实年度法治学习计划，构建“基础法律+专业法规+本地政策”三维学习体系。2025年12月，办公室组织召开内部专题述法报告会，领导班子成员及科室负责人全员进行现场或书面述法，并接受民主评议，实现以述法促履职、以法治强治理。将法治建设成效纳入干部年度考核评价体系，树立鲜明导向。</w:t>
      </w:r>
    </w:p>
    <w:p>
      <w:pPr>
        <w:pStyle w:val="1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Style w:val="15"/>
          <w:rFonts w:hint="default" w:ascii="Times New Roman" w:hAnsi="Times New Roman" w:eastAsia="黑体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15"/>
          <w:rFonts w:hint="default" w:ascii="Times New Roman" w:hAnsi="Times New Roman" w:eastAsia="黑体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二、存在的问题与不足</w:t>
      </w:r>
    </w:p>
    <w:p>
      <w:pPr>
        <w:pStyle w:val="1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区政府办公室在推动法治政府建设工作中，虽然取得了一定成效，但仍存在一些问题和不足。一是理论学习的“深化转化”有待加强。二是法治实践的“创新突破”有待提速。三是压力传导的“末梢激活”有待夯实。</w:t>
      </w:r>
    </w:p>
    <w:p>
      <w:pPr>
        <w:pStyle w:val="1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Style w:val="15"/>
          <w:rFonts w:hint="default" w:ascii="Times New Roman" w:hAnsi="Times New Roman" w:eastAsia="黑体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15"/>
          <w:rFonts w:hint="default" w:ascii="Times New Roman" w:hAnsi="Times New Roman" w:eastAsia="黑体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三、党政主要负责人履行第一责任人职责情况</w:t>
      </w:r>
    </w:p>
    <w:p>
      <w:pPr>
        <w:pStyle w:val="1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区政府办公室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主要负责人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严格履行推进法治建设第一责任人职责：</w:t>
      </w:r>
    </w:p>
    <w:p>
      <w:pPr>
        <w:pStyle w:val="1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一是</w:t>
      </w:r>
      <w:r>
        <w:rPr>
          <w:rStyle w:val="15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带头强化思想引领。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坚持将学习贯彻习近平法治思想作为首要政治任务，主持党组</w:t>
      </w:r>
      <w:r>
        <w:rPr>
          <w:rFonts w:hint="eastAsia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理论学习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中心组学习，带头研学、带头宣讲，筑牢法治信仰根基。</w:t>
      </w:r>
    </w:p>
    <w:p>
      <w:pPr>
        <w:pStyle w:val="1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二是</w:t>
      </w:r>
      <w:r>
        <w:rPr>
          <w:rStyle w:val="15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带头推动任务落实。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将法治建设与办公室中心工作同部署、同推进、同考核。聚焦优化营商环境、规范行政决策、强化督查问效等关键环节，亲自部署、靠前指挥，确保各项法治任务落地见效。</w:t>
      </w:r>
    </w:p>
    <w:p>
      <w:pPr>
        <w:pStyle w:val="1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三是</w:t>
      </w:r>
      <w:r>
        <w:rPr>
          <w:rStyle w:val="15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带头抓好队伍建设。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将法治素养作为干部队伍建设的重要内容，健全学法制度，强化考核运用，在年度专题述法会上带头报告履职情况，接受评议监督，切实发挥了“头雁效应”。</w:t>
      </w:r>
    </w:p>
    <w:p>
      <w:pPr>
        <w:pStyle w:val="1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Style w:val="15"/>
          <w:rFonts w:hint="default" w:ascii="Times New Roman" w:hAnsi="Times New Roman" w:eastAsia="黑体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15"/>
          <w:rFonts w:hint="default" w:ascii="Times New Roman" w:hAnsi="Times New Roman" w:eastAsia="黑体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四、2026年度主要工作安排</w:t>
      </w:r>
    </w:p>
    <w:p>
      <w:pPr>
        <w:pStyle w:val="1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2026年，区政府办公室将坚持以习近平法治思想为指引，锚定法治政府建设目标，补短板、强弱项、促提升，重点抓好以下工作：</w:t>
      </w:r>
    </w:p>
    <w:p>
      <w:pPr>
        <w:pStyle w:val="1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一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是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持续推进理论武装走深走实。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继续把学习贯彻习近平法治思想作为长期政治任务，坚持领导干部带头学、深入学，通过常态化开展专题研讨、实践调研等形式，不断巩固和深化学习成果。重点强化理论与实践的结合转化，推动党员干部在深化认识中提升站位，在把握要义中增强能力，切实把学习成效转化为运用法治思维谋划工作、运用法治方式破解难题的实际本领，持续锻造高素质专业化法治工作队伍。</w:t>
      </w:r>
    </w:p>
    <w:p>
      <w:pPr>
        <w:pStyle w:val="1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二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是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持续完善制度机制规范运行。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继续严格履行党政主要负责人推进法治建设第一责任人职责，健全常态化研究、部署、督查工作机制。持续优化重大行政决策程序，严格制度要求，确保决策过程科学民主、决策结果合法有效。进一步完善政务公开、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督查督办、优化营商环境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等制度体系，推动各项制度相互衔接、形成合力，持续提升政府工作法治化、规范化水平，为建设更高水平的法治政府奠定坚实制度基础。</w:t>
      </w:r>
    </w:p>
    <w:p>
      <w:pPr>
        <w:pStyle w:val="1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三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是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持续推进“八五”普法纵深发展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坚持以习近平法治思想为根本指引，持续推动“八五”普法工作走深走实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依托线上线下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两种方式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，拓展普法新路径，提升普法教育的覆盖面与实效性。不断巩固尊法学法守法用法的社会共识，将普法成果持续转化为法治政府建设的实践动能，为开创全面依法治区新局面营造更加浓厚的法治氛围。</w:t>
      </w:r>
    </w:p>
    <w:p>
      <w:pPr>
        <w:pStyle w:val="1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>
      <w:pPr>
        <w:pStyle w:val="1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</w:p>
    <w:p>
      <w:pPr>
        <w:pStyle w:val="1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</w:p>
    <w:p>
      <w:pPr>
        <w:pStyle w:val="1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枣庄市市中区人民政府办公室</w:t>
      </w:r>
    </w:p>
    <w:p>
      <w:pPr>
        <w:pStyle w:val="1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sz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楷体_GB2312" w:cs="Times New Roman"/>
          <w:b/>
          <w:bCs/>
          <w:sz w:val="32"/>
        </w:rPr>
        <w:t>202</w:t>
      </w:r>
      <w:r>
        <w:rPr>
          <w:rFonts w:hint="default" w:ascii="Times New Roman" w:hAnsi="Times New Roman" w:eastAsia="楷体_GB2312" w:cs="Times New Roman"/>
          <w:b/>
          <w:bCs/>
          <w:sz w:val="32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b/>
          <w:bCs/>
          <w:sz w:val="32"/>
        </w:rPr>
        <w:t>年</w:t>
      </w:r>
      <w:r>
        <w:rPr>
          <w:rFonts w:hint="default" w:ascii="Times New Roman" w:hAnsi="Times New Roman" w:eastAsia="楷体_GB2312" w:cs="Times New Roman"/>
          <w:b/>
          <w:bCs/>
          <w:sz w:val="32"/>
          <w:lang w:val="en-US" w:eastAsia="zh-CN"/>
        </w:rPr>
        <w:t>1</w:t>
      </w:r>
      <w:r>
        <w:rPr>
          <w:rFonts w:hint="default" w:ascii="Times New Roman" w:hAnsi="Times New Roman" w:eastAsia="楷体_GB2312" w:cs="Times New Roman"/>
          <w:b/>
          <w:bCs/>
          <w:sz w:val="32"/>
        </w:rPr>
        <w:t>月</w:t>
      </w:r>
      <w:r>
        <w:rPr>
          <w:rFonts w:hint="default" w:ascii="Times New Roman" w:hAnsi="Times New Roman" w:eastAsia="楷体_GB2312" w:cs="Times New Roman"/>
          <w:b/>
          <w:bCs/>
          <w:sz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/>
          <w:bCs/>
          <w:sz w:val="32"/>
        </w:rPr>
        <w:t>日</w:t>
      </w:r>
    </w:p>
    <w:p>
      <w:pPr>
        <w:pStyle w:val="1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</w:p>
    <w:p>
      <w:pPr>
        <w:pStyle w:val="1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（此件公开发布）</w:t>
      </w:r>
    </w:p>
    <w:p>
      <w:pPr>
        <w:pStyle w:val="1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right"/>
        <w:textAlignment w:val="auto"/>
        <w:rPr>
          <w:rFonts w:hint="default" w:ascii="Times New Roman" w:hAnsi="Times New Roman" w:eastAsia="楷体_GB2312" w:cs="Times New Roman"/>
          <w:b/>
          <w:bCs/>
          <w:sz w:val="32"/>
        </w:rPr>
      </w:pPr>
    </w:p>
    <w:p>
      <w:pPr>
        <w:pStyle w:val="1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right"/>
        <w:textAlignment w:val="auto"/>
        <w:rPr>
          <w:rFonts w:hint="default" w:ascii="Times New Roman" w:hAnsi="Times New Roman" w:eastAsia="楷体_GB2312" w:cs="Times New Roman"/>
          <w:b/>
          <w:bCs/>
          <w:sz w:val="32"/>
        </w:rPr>
      </w:pPr>
    </w:p>
    <w:p>
      <w:pPr>
        <w:pStyle w:val="1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right"/>
        <w:textAlignment w:val="auto"/>
        <w:rPr>
          <w:rFonts w:hint="default" w:ascii="Times New Roman" w:hAnsi="Times New Roman" w:eastAsia="楷体_GB2312" w:cs="Times New Roman"/>
          <w:b/>
          <w:bCs/>
          <w:sz w:val="32"/>
        </w:rPr>
      </w:pPr>
    </w:p>
    <w:p>
      <w:pPr>
        <w:pStyle w:val="1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right"/>
        <w:textAlignment w:val="auto"/>
        <w:rPr>
          <w:rFonts w:hint="default" w:ascii="Times New Roman" w:hAnsi="Times New Roman" w:eastAsia="楷体_GB2312" w:cs="Times New Roman"/>
          <w:b/>
          <w:bCs/>
          <w:sz w:val="32"/>
          <w:lang w:val="en-US" w:eastAsia="zh-CN"/>
        </w:rPr>
      </w:pPr>
    </w:p>
    <w:p>
      <w:pPr>
        <w:pStyle w:val="1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right"/>
        <w:textAlignment w:val="auto"/>
        <w:rPr>
          <w:rFonts w:hint="default" w:ascii="Times New Roman" w:hAnsi="Times New Roman" w:eastAsia="楷体_GB2312" w:cs="Times New Roman"/>
          <w:b/>
          <w:bCs/>
          <w:sz w:val="32"/>
          <w:lang w:val="en-US" w:eastAsia="zh-CN"/>
        </w:rPr>
      </w:pPr>
    </w:p>
    <w:p>
      <w:pPr>
        <w:pStyle w:val="1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right"/>
        <w:textAlignment w:val="auto"/>
        <w:rPr>
          <w:rFonts w:hint="default" w:ascii="Times New Roman" w:hAnsi="Times New Roman" w:eastAsia="楷体_GB2312" w:cs="Times New Roman"/>
          <w:b/>
          <w:bCs/>
          <w:sz w:val="32"/>
          <w:lang w:val="en-US" w:eastAsia="zh-CN"/>
        </w:rPr>
      </w:pPr>
    </w:p>
    <w:tbl>
      <w:tblPr>
        <w:tblStyle w:val="13"/>
        <w:tblpPr w:leftFromText="180" w:rightFromText="180" w:vertAnchor="text" w:horzAnchor="page" w:tblpX="1672" w:tblpY="2923"/>
        <w:tblW w:w="8730" w:type="dxa"/>
        <w:jc w:val="center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0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730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枣庄市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 xml:space="preserve">市中区人民政府办公室         </w:t>
            </w:r>
            <w:r>
              <w:rPr>
                <w:rFonts w:hint="eastAsia" w:eastAsia="仿宋_GB2312" w:cs="Times New Roman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 xml:space="preserve"> 202</w:t>
            </w:r>
            <w:r>
              <w:rPr>
                <w:rFonts w:hint="eastAsia" w:eastAsia="仿宋_GB2312" w:cs="Times New Roman"/>
                <w:b/>
                <w:bCs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年</w:t>
            </w:r>
            <w:r>
              <w:rPr>
                <w:rFonts w:hint="eastAsia" w:eastAsia="仿宋_GB2312" w:cs="Times New Roman"/>
                <w:b/>
                <w:bCs/>
                <w:sz w:val="30"/>
                <w:szCs w:val="3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月</w:t>
            </w:r>
            <w:r>
              <w:rPr>
                <w:rFonts w:hint="eastAsia" w:eastAsia="仿宋_GB2312" w:cs="Times New Roman"/>
                <w:b/>
                <w:bCs/>
                <w:sz w:val="30"/>
                <w:szCs w:val="3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日印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发</w:t>
            </w:r>
          </w:p>
        </w:tc>
      </w:tr>
    </w:tbl>
    <w:p>
      <w:pPr>
        <w:pStyle w:val="1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right"/>
        <w:textAlignment w:val="auto"/>
        <w:rPr>
          <w:rFonts w:hint="default" w:ascii="Times New Roman" w:hAnsi="Times New Roman" w:eastAsia="楷体_GB2312" w:cs="Times New Roman"/>
          <w:b/>
          <w:bCs/>
          <w:sz w:val="32"/>
          <w:lang w:val="en-US" w:eastAsia="zh-CN"/>
        </w:rPr>
      </w:pPr>
    </w:p>
    <w:sectPr>
      <w:footerReference r:id="rId3" w:type="default"/>
      <w:pgSz w:w="11906" w:h="16838"/>
      <w:pgMar w:top="1644" w:right="1644" w:bottom="1644" w:left="1644" w:header="851" w:footer="136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F9CE65-E251-4AE2-8FEC-21385578F1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01A1AA9-B4EA-4316-90B5-4E94F9B2887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61DDBFFB-1434-4C15-951E-3DF2517ED70E}"/>
  </w:font>
  <w:font w:name="国标楷体-GB/T 2312">
    <w:altName w:val="楷体_GB2312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4" w:fontKey="{D5232E10-AB60-40BE-AE68-EE3694BEA20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A87BB14-3640-433E-A09E-1A68C87D29C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9877E113-59ED-4627-A65F-56D0A26A3C5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Times New Roman" w:hAnsi="Times New Roman" w:eastAsia="仿宋_GB2312" w:cs="Times New Roman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32"/>
                              <w:szCs w:val="32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b/>
                              <w:bCs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b/>
                              <w:bCs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b/>
                              <w:bCs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b/>
                              <w:bCs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b/>
                              <w:bCs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eastAsia="仿宋_GB2312" w:cs="Times New Roman"/>
                              <w:b/>
                              <w:bCs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Times New Roman" w:hAnsi="Times New Roman" w:eastAsia="仿宋_GB2312" w:cs="Times New Roman"/>
                        <w:b/>
                        <w:bCs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2"/>
                        <w:szCs w:val="32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b/>
                        <w:bCs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b/>
                        <w:bCs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b/>
                        <w:bCs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b/>
                        <w:bCs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b/>
                        <w:bCs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eastAsia="仿宋_GB2312" w:cs="Times New Roman"/>
                        <w:b/>
                        <w:bCs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2"/>
                        <w:szCs w:val="32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0ZTE3MDc2NTkyYjI5OTgyYjZhYTUzNDkxZGMxMGQifQ=="/>
  </w:docVars>
  <w:rsids>
    <w:rsidRoot w:val="00000000"/>
    <w:rsid w:val="06AC6C10"/>
    <w:rsid w:val="08FE7CE0"/>
    <w:rsid w:val="096E3588"/>
    <w:rsid w:val="09C23821"/>
    <w:rsid w:val="0CD33899"/>
    <w:rsid w:val="0DF30D4B"/>
    <w:rsid w:val="0DF953E5"/>
    <w:rsid w:val="0E3D28EA"/>
    <w:rsid w:val="0FB01874"/>
    <w:rsid w:val="10DA4830"/>
    <w:rsid w:val="138A4FA5"/>
    <w:rsid w:val="15672B90"/>
    <w:rsid w:val="1A044304"/>
    <w:rsid w:val="1AC112E1"/>
    <w:rsid w:val="1CFE1CD3"/>
    <w:rsid w:val="2185500C"/>
    <w:rsid w:val="250761C1"/>
    <w:rsid w:val="277C537A"/>
    <w:rsid w:val="27EA3CF9"/>
    <w:rsid w:val="2BB23003"/>
    <w:rsid w:val="2FC81E15"/>
    <w:rsid w:val="30852196"/>
    <w:rsid w:val="30FD57EA"/>
    <w:rsid w:val="33B50B63"/>
    <w:rsid w:val="38363CC7"/>
    <w:rsid w:val="38FFE32E"/>
    <w:rsid w:val="3E5B2C3C"/>
    <w:rsid w:val="432A0B58"/>
    <w:rsid w:val="44AD5392"/>
    <w:rsid w:val="465B0D66"/>
    <w:rsid w:val="46BB6902"/>
    <w:rsid w:val="47C55C83"/>
    <w:rsid w:val="4AB01073"/>
    <w:rsid w:val="4B385BDF"/>
    <w:rsid w:val="4BD61903"/>
    <w:rsid w:val="4D616D14"/>
    <w:rsid w:val="51931978"/>
    <w:rsid w:val="5215673F"/>
    <w:rsid w:val="5278698A"/>
    <w:rsid w:val="529B767D"/>
    <w:rsid w:val="52E83027"/>
    <w:rsid w:val="533F163E"/>
    <w:rsid w:val="562826B7"/>
    <w:rsid w:val="5DB95CFE"/>
    <w:rsid w:val="5F533468"/>
    <w:rsid w:val="64B47243"/>
    <w:rsid w:val="6703796A"/>
    <w:rsid w:val="67A42206"/>
    <w:rsid w:val="69C30065"/>
    <w:rsid w:val="6A0605CF"/>
    <w:rsid w:val="6A072428"/>
    <w:rsid w:val="6DAA64DF"/>
    <w:rsid w:val="6FAF14A2"/>
    <w:rsid w:val="6FBF48A8"/>
    <w:rsid w:val="71395401"/>
    <w:rsid w:val="72414F06"/>
    <w:rsid w:val="726C42BE"/>
    <w:rsid w:val="72FA210A"/>
    <w:rsid w:val="74BC670C"/>
    <w:rsid w:val="7536550F"/>
    <w:rsid w:val="758E216C"/>
    <w:rsid w:val="75979623"/>
    <w:rsid w:val="775F15F9"/>
    <w:rsid w:val="77DF305F"/>
    <w:rsid w:val="78534867"/>
    <w:rsid w:val="79F7091E"/>
    <w:rsid w:val="7AC272FA"/>
    <w:rsid w:val="7AF655C3"/>
    <w:rsid w:val="7B704D90"/>
    <w:rsid w:val="7CEFB2B5"/>
    <w:rsid w:val="7D316B8F"/>
    <w:rsid w:val="7F95FFA1"/>
    <w:rsid w:val="AF1D3D22"/>
    <w:rsid w:val="BDBFE955"/>
    <w:rsid w:val="BF9EB15D"/>
    <w:rsid w:val="FCD98A82"/>
    <w:rsid w:val="FDFD1A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Normal Indent"/>
    <w:basedOn w:val="1"/>
    <w:next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6">
    <w:name w:val="Body Text"/>
    <w:basedOn w:val="1"/>
    <w:next w:val="7"/>
    <w:qFormat/>
    <w:uiPriority w:val="1"/>
    <w:pPr>
      <w:ind w:left="268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7">
    <w:name w:val="Body Text First Indent 2"/>
    <w:basedOn w:val="8"/>
    <w:next w:val="1"/>
    <w:qFormat/>
    <w:uiPriority w:val="99"/>
    <w:pPr>
      <w:spacing w:after="0"/>
      <w:ind w:left="0" w:leftChars="0" w:firstLine="420" w:firstLineChars="200"/>
    </w:pPr>
    <w:rPr>
      <w:rFonts w:eastAsia="仿宋_GB2312"/>
      <w:sz w:val="32"/>
      <w:szCs w:val="32"/>
    </w:rPr>
  </w:style>
  <w:style w:type="paragraph" w:styleId="8">
    <w:name w:val="Body Text Indent"/>
    <w:basedOn w:val="1"/>
    <w:next w:val="5"/>
    <w:semiHidden/>
    <w:qFormat/>
    <w:uiPriority w:val="99"/>
    <w:pPr>
      <w:spacing w:after="120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5">
    <w:name w:val="Strong"/>
    <w:basedOn w:val="1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5f52f3ec-96b4-419a-aa02-52470868410a</errorID>
      <errorWord xmlns="http://schemas.wps.cn/vas-ai-hub/contract-review">优化营商环境条例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>
        <item xmlns="http://schemas.wps.cn/vas-ai-hub/contract-review">《优化营商环境条例》</item>
      </candidateList>
      <explain xmlns="http://schemas.wps.cn/vas-ai-hub/contract-review">完整法律法规名称需要加书名号，请注意检查。</explain>
      <paraID xmlns="http://schemas.wps.cn/vas-ai-hub/contract-review">1C55A0DD</paraID>
      <start xmlns="http://schemas.wps.cn/vas-ai-hub/contract-review">163</start>
      <end xmlns="http://schemas.wps.cn/vas-ai-hub/contract-review">171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160626ae-63e1-43db-85c0-aa2460e7225e</errorID>
      <errorWord xmlns="http://schemas.wps.cn/vas-ai-hub/contract-review">实战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实践</item>
      </candidateList>
      <explain xmlns="http://schemas.wps.cn/vas-ai-hub/contract-review">❶〈动〉实行（自己的主张）；履行（自己的诺言）。❷〈名〉人们改造自然和改造社会的有意识的活动：～出真知｜～是检验真理的唯一标准。</explain>
      <paraID xmlns="http://schemas.wps.cn/vas-ai-hub/contract-review">471B2313</paraID>
      <start xmlns="http://schemas.wps.cn/vas-ai-hub/contract-review">66</start>
      <end xmlns="http://schemas.wps.cn/vas-ai-hub/contract-review">68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c47382-90e0-4d80-89b2-15ca429325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2619</Words>
  <Characters>2699</Characters>
  <Lines>0</Lines>
  <Paragraphs>0</Paragraphs>
  <TotalTime>11</TotalTime>
  <ScaleCrop>false</ScaleCrop>
  <LinksUpToDate>false</LinksUpToDate>
  <CharactersWithSpaces>2735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asus</dc:creator>
  <cp:lastModifiedBy>lirong</cp:lastModifiedBy>
  <cp:lastPrinted>2026-01-05T15:52:00Z</cp:lastPrinted>
  <dcterms:modified xsi:type="dcterms:W3CDTF">2026-01-06T03:47:41Z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DF5DBD8B7C57288B33434E69B1AE71B5</vt:lpwstr>
  </property>
  <property fmtid="{D5CDD505-2E9C-101B-9397-08002B2CF9AE}" pid="4" name="KSOTemplateDocerSaveRecord">
    <vt:lpwstr>eyJoZGlkIjoiZWMyZTUwNzlkOTJkYTBjNmI3YTM1N2I5ODdjZGE5NjQiLCJ1c2VySWQiOiI1OTI1MDE1NDYifQ==</vt:lpwstr>
  </property>
</Properties>
</file>